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36"/>
          <w:u w:val="single"/>
          <w:shd w:fill="auto" w:val="clear"/>
        </w:rPr>
      </w:pPr>
    </w:p>
    <w:p>
      <w:pPr>
        <w:spacing w:before="0" w:after="20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Objectifs du module de formation</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L'intitulé du module étant </w:t>
      </w:r>
      <w:r>
        <w:rPr>
          <w:rFonts w:ascii="Calibri" w:hAnsi="Calibri" w:cs="Calibri" w:eastAsia="Calibri"/>
          <w:b/>
          <w:color w:val="auto"/>
          <w:spacing w:val="0"/>
          <w:position w:val="0"/>
          <w:sz w:val="28"/>
          <w:shd w:fill="auto" w:val="clear"/>
        </w:rPr>
        <w:t xml:space="preserve">"Commerce international</w:t>
      </w:r>
      <w:r>
        <w:rPr>
          <w:rFonts w:ascii="Calibri" w:hAnsi="Calibri" w:cs="Calibri" w:eastAsia="Calibri"/>
          <w:color w:val="auto"/>
          <w:spacing w:val="0"/>
          <w:position w:val="0"/>
          <w:sz w:val="28"/>
          <w:shd w:fill="auto" w:val="clear"/>
        </w:rPr>
        <w:t xml:space="preserve">", son objectif consiste à vous familiariser avec l'environnement économique et commercial international et à identifier le cadre conceptuel et les mécanismes juridiques, économiques et financiers qui sont à l'oeuvre dans les relations économiques internationales.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Comme l'indique la </w:t>
      </w:r>
      <w:r>
        <w:rPr>
          <w:rFonts w:ascii="Calibri" w:hAnsi="Calibri" w:cs="Calibri" w:eastAsia="Calibri"/>
          <w:i/>
          <w:color w:val="auto"/>
          <w:spacing w:val="0"/>
          <w:position w:val="0"/>
          <w:sz w:val="28"/>
          <w:shd w:fill="auto" w:val="clear"/>
        </w:rPr>
        <w:t xml:space="preserve">Fiche de cours</w:t>
      </w:r>
      <w:r>
        <w:rPr>
          <w:rFonts w:ascii="Calibri" w:hAnsi="Calibri" w:cs="Calibri" w:eastAsia="Calibri"/>
          <w:color w:val="auto"/>
          <w:spacing w:val="0"/>
          <w:position w:val="0"/>
          <w:sz w:val="28"/>
          <w:shd w:fill="auto" w:val="clear"/>
        </w:rPr>
        <w:t xml:space="preserve">, il est surtout question d'aborder le commerce international dans son acception générale, c'est-à-dire l'étude et l'analyse des flux </w:t>
      </w:r>
      <w:r>
        <w:rPr>
          <w:rFonts w:ascii="Calibri" w:hAnsi="Calibri" w:cs="Calibri" w:eastAsia="Calibri"/>
          <w:color w:val="auto"/>
          <w:spacing w:val="0"/>
          <w:position w:val="0"/>
          <w:sz w:val="28"/>
          <w:shd w:fill="auto" w:val="clear"/>
        </w:rPr>
        <w:t xml:space="preserve">des échanges internationaux de marchandises et l'interaction de leurs marchés (marché de biens et de services, marchés des capitaux, marché des changes, marché du travail et des compétences, marché des nouvelles technologies et de l'information, etc.). C</w:t>
      </w:r>
      <w:r>
        <w:rPr>
          <w:rFonts w:ascii="Calibri" w:hAnsi="Calibri" w:cs="Calibri" w:eastAsia="Calibri"/>
          <w:color w:val="auto"/>
          <w:spacing w:val="0"/>
          <w:position w:val="0"/>
          <w:sz w:val="28"/>
          <w:shd w:fill="auto" w:val="clear"/>
        </w:rPr>
        <w:t xml:space="preserve">'est ainsi que nous nous concentrerons durant ces 24 heures d'enseignement sur les aspects suivants: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En premier lieu nous tenterons de situer le </w:t>
      </w:r>
      <w:r>
        <w:rPr>
          <w:rFonts w:ascii="Calibri" w:hAnsi="Calibri" w:cs="Calibri" w:eastAsia="Calibri"/>
          <w:b/>
          <w:color w:val="auto"/>
          <w:spacing w:val="0"/>
          <w:position w:val="0"/>
          <w:sz w:val="28"/>
          <w:shd w:fill="auto" w:val="clear"/>
        </w:rPr>
        <w:t xml:space="preserve">cadre des Relations économiques internationales. </w:t>
      </w:r>
      <w:r>
        <w:rPr>
          <w:rFonts w:ascii="Calibri" w:hAnsi="Calibri" w:cs="Calibri" w:eastAsia="Calibri"/>
          <w:color w:val="auto"/>
          <w:spacing w:val="0"/>
          <w:position w:val="0"/>
          <w:sz w:val="28"/>
          <w:shd w:fill="auto" w:val="clear"/>
        </w:rPr>
        <w:t xml:space="preserve">Pour cela</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nous étudierons: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le cadre conceptuel de ces relations (termes de l'échange, degré d'ouverture, balance des paiements, déséquilibres macroéconomiques, etc.)</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les institutions multilatérales (OMC, groupements régionaux, zones monétaires, etc.) et les Institutions financières internationales (IFI) telles que la BM, le FMI, la BRI, les Banques de développement régionales (BAfD, BAD, BIsD, etc...) qui interviennent dans ce cadre et financent, soit des programmes de développement, soit des appuis budgétaires, des appuis aux balances de paiement et d'autres instruments de financement)</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le rôle des monnaies et les opérations de change.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-Les nouvelles stratégies d'internationalisation (multinationalisation) des banques commerciales et des banques d'affaires.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Les systèmes d'information (S.I) à l'oeuvre et qui tissent une véritable "toile d'araignée" sur les REI.</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En deuxième lieu, nous aborderons </w:t>
      </w:r>
      <w:r>
        <w:rPr>
          <w:rFonts w:ascii="Calibri" w:hAnsi="Calibri" w:cs="Calibri" w:eastAsia="Calibri"/>
          <w:b/>
          <w:color w:val="auto"/>
          <w:spacing w:val="0"/>
          <w:position w:val="0"/>
          <w:sz w:val="28"/>
          <w:shd w:fill="auto" w:val="clear"/>
        </w:rPr>
        <w:t xml:space="preserve">Les fondements théoriques du commerce international et les politiques de dépréciation et de dévaluation des monnaies </w:t>
      </w:r>
      <w:r>
        <w:rPr>
          <w:rFonts w:ascii="Calibri" w:hAnsi="Calibri" w:cs="Calibri" w:eastAsia="Calibri"/>
          <w:color w:val="auto"/>
          <w:spacing w:val="0"/>
          <w:position w:val="0"/>
          <w:sz w:val="28"/>
          <w:shd w:fill="auto" w:val="clear"/>
        </w:rPr>
        <w:t xml:space="preserve">à travers les notions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d'élasticités critiques et de parité de pouvoir d'achat (P.P.A) ou PPP en anglais (purchasing power parity)</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la courbe en J</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-3) le</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Marché des changes</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les différents régimes de taux de change,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les politiques de change au Maghreb</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4) Les obstacles à la libéralisation des marchés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Obstacles institutionnels et reglementaires (climat des affaires)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règles de la concurrence et de la protection.</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Rente, profit et surplus du consommateur.</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5) Les financements liés et conditionnels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les crédits commerciaux (banques privées et marchés financiers, Club de Londres) et les financements directs (IDE, Fonds d'investissements, investissements de portefeuille ou </w:t>
      </w:r>
      <w:r>
        <w:rPr>
          <w:rFonts w:ascii="Calibri" w:hAnsi="Calibri" w:cs="Calibri" w:eastAsia="Calibri"/>
          <w:i/>
          <w:color w:val="auto"/>
          <w:spacing w:val="0"/>
          <w:position w:val="0"/>
          <w:sz w:val="28"/>
          <w:shd w:fill="auto" w:val="clear"/>
        </w:rPr>
        <w:t xml:space="preserve">Hot money</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les crédits gouvernementaux (dette publique, Debt equity swaps, Club de Paris)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les crédits multilatéraux (financements au taux du marché, financements concessionnels, dons; rééchelonnement, reprofilage et restructuration des dettes)</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6) Les opérations de Swap dans le commerce international</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Debt equity swaps, Debt Bonds swaps, switch and clearing</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7) Les nouveaux instruments financiers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fonctionnement des marchés financiers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OTC et marché à terme</w:t>
      </w:r>
    </w:p>
    <w:p>
      <w:pPr>
        <w:spacing w:before="0" w:after="200" w:line="276"/>
        <w:ind w:right="0" w:left="0" w:firstLine="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 les options et les futures, les </w:t>
      </w:r>
      <w:r>
        <w:rPr>
          <w:rFonts w:ascii="Calibri" w:hAnsi="Calibri" w:cs="Calibri" w:eastAsia="Calibri"/>
          <w:b/>
          <w:color w:val="auto"/>
          <w:spacing w:val="0"/>
          <w:position w:val="0"/>
          <w:sz w:val="28"/>
          <w:shd w:fill="auto" w:val="clear"/>
        </w:rPr>
        <w:t xml:space="preserve">ABS </w:t>
      </w:r>
      <w:r>
        <w:rPr>
          <w:rFonts w:ascii="Calibri" w:hAnsi="Calibri" w:cs="Calibri" w:eastAsia="Calibri"/>
          <w:color w:val="auto"/>
          <w:spacing w:val="0"/>
          <w:position w:val="0"/>
          <w:sz w:val="28"/>
          <w:shd w:fill="auto" w:val="clear"/>
        </w:rPr>
        <w:t xml:space="preserve">(Asset Backed Securities), les </w:t>
      </w:r>
      <w:r>
        <w:rPr>
          <w:rFonts w:ascii="Calibri" w:hAnsi="Calibri" w:cs="Calibri" w:eastAsia="Calibri"/>
          <w:b/>
          <w:color w:val="auto"/>
          <w:spacing w:val="0"/>
          <w:position w:val="0"/>
          <w:sz w:val="28"/>
          <w:shd w:fill="auto" w:val="clear"/>
        </w:rPr>
        <w:t xml:space="preserve">CDO </w:t>
      </w:r>
      <w:r>
        <w:rPr>
          <w:rFonts w:ascii="Calibri" w:hAnsi="Calibri" w:cs="Calibri" w:eastAsia="Calibri"/>
          <w:color w:val="auto"/>
          <w:spacing w:val="0"/>
          <w:position w:val="0"/>
          <w:sz w:val="28"/>
          <w:shd w:fill="auto" w:val="clear"/>
        </w:rPr>
        <w:t xml:space="preserve">(Collateralized Debt Obligations), les </w:t>
      </w:r>
      <w:r>
        <w:rPr>
          <w:rFonts w:ascii="Calibri" w:hAnsi="Calibri" w:cs="Calibri" w:eastAsia="Calibri"/>
          <w:b/>
          <w:color w:val="auto"/>
          <w:spacing w:val="0"/>
          <w:position w:val="0"/>
          <w:sz w:val="28"/>
          <w:shd w:fill="auto" w:val="clear"/>
        </w:rPr>
        <w:t xml:space="preserve">CDS </w:t>
      </w:r>
      <w:r>
        <w:rPr>
          <w:rFonts w:ascii="Calibri" w:hAnsi="Calibri" w:cs="Calibri" w:eastAsia="Calibri"/>
          <w:color w:val="auto"/>
          <w:spacing w:val="0"/>
          <w:position w:val="0"/>
          <w:sz w:val="28"/>
          <w:shd w:fill="auto" w:val="clear"/>
        </w:rPr>
        <w:t xml:space="preserve">(Credit Default Swaps)  et les dérivés de marché </w:t>
      </w:r>
    </w:p>
    <w:p>
      <w:pPr>
        <w:spacing w:before="0" w:after="200" w:line="276"/>
        <w:ind w:right="0" w:left="0" w:firstLine="0"/>
        <w:jc w:val="both"/>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 le prix d'exercice, les primes et les </w:t>
      </w:r>
      <w:r>
        <w:rPr>
          <w:rFonts w:ascii="Calibri" w:hAnsi="Calibri" w:cs="Calibri" w:eastAsia="Calibri"/>
          <w:i/>
          <w:color w:val="auto"/>
          <w:spacing w:val="0"/>
          <w:position w:val="0"/>
          <w:sz w:val="28"/>
          <w:shd w:fill="auto" w:val="clear"/>
        </w:rPr>
        <w:t xml:space="preserve">spreads</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8) La nouvelle configuration des échanges internationaux</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les </w:t>
      </w:r>
      <w:r>
        <w:rPr>
          <w:rFonts w:ascii="Calibri" w:hAnsi="Calibri" w:cs="Calibri" w:eastAsia="Calibri"/>
          <w:b/>
          <w:color w:val="auto"/>
          <w:spacing w:val="0"/>
          <w:position w:val="0"/>
          <w:sz w:val="28"/>
          <w:shd w:fill="auto" w:val="clear"/>
        </w:rPr>
        <w:t xml:space="preserve">trois D </w:t>
      </w:r>
      <w:r>
        <w:rPr>
          <w:rFonts w:ascii="Calibri" w:hAnsi="Calibri" w:cs="Calibri" w:eastAsia="Calibri"/>
          <w:color w:val="auto"/>
          <w:spacing w:val="0"/>
          <w:position w:val="0"/>
          <w:sz w:val="28"/>
          <w:shd w:fill="auto" w:val="clear"/>
        </w:rPr>
        <w:t xml:space="preserve">(dématérialisation, désintermédiation et décloisonnement) </w:t>
      </w:r>
    </w:p>
    <w:p>
      <w:pPr>
        <w:spacing w:before="0" w:after="200" w:line="276"/>
        <w:ind w:right="0" w:left="0" w:firstLine="0"/>
        <w:jc w:val="both"/>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 La mondialisation des échanges</w:t>
      </w:r>
    </w:p>
    <w:p>
      <w:pPr>
        <w:spacing w:before="0" w:after="200" w:line="276"/>
        <w:ind w:right="0" w:left="0" w:firstLine="0"/>
        <w:jc w:val="both"/>
        <w:rPr>
          <w:rFonts w:ascii="Calibri" w:hAnsi="Calibri" w:cs="Calibri" w:eastAsia="Calibri"/>
          <w:color w:val="auto"/>
          <w:spacing w:val="0"/>
          <w:position w:val="0"/>
          <w:sz w:val="36"/>
          <w:u w:val="single"/>
          <w:shd w:fill="auto" w:val="clear"/>
        </w:rPr>
      </w:pPr>
    </w:p>
    <w:p>
      <w:pPr>
        <w:spacing w:before="0" w:after="200" w:line="276"/>
        <w:ind w:right="0" w:left="0" w:firstLine="0"/>
        <w:jc w:val="both"/>
        <w:rPr>
          <w:rFonts w:ascii="Calibri" w:hAnsi="Calibri" w:cs="Calibri" w:eastAsia="Calibri"/>
          <w:b/>
          <w:color w:val="auto"/>
          <w:spacing w:val="0"/>
          <w:position w:val="0"/>
          <w:sz w:val="36"/>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